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7AA69" w14:textId="70C5D246" w:rsidR="004C1C7D" w:rsidRPr="00AC04D9" w:rsidRDefault="007F51D7" w:rsidP="00AC04D9">
      <w:pPr>
        <w:jc w:val="center"/>
        <w:rPr>
          <w:b/>
          <w:sz w:val="28"/>
        </w:rPr>
      </w:pPr>
      <w:r>
        <w:rPr>
          <w:b/>
          <w:sz w:val="28"/>
        </w:rPr>
        <w:t>Art</w:t>
      </w:r>
      <w:r w:rsidR="00AC04D9" w:rsidRPr="00AC04D9">
        <w:rPr>
          <w:b/>
          <w:sz w:val="28"/>
        </w:rPr>
        <w:t xml:space="preserve"> Year</w:t>
      </w:r>
      <w:r>
        <w:rPr>
          <w:b/>
          <w:sz w:val="28"/>
        </w:rPr>
        <w:t xml:space="preserve"> </w:t>
      </w:r>
      <w:r w:rsidR="00254E41">
        <w:rPr>
          <w:b/>
          <w:sz w:val="28"/>
        </w:rPr>
        <w:t>10</w:t>
      </w:r>
      <w:r w:rsidR="00AC04D9" w:rsidRPr="00AC04D9">
        <w:rPr>
          <w:b/>
          <w:sz w:val="28"/>
        </w:rPr>
        <w:t xml:space="preserve"> Curriculum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81"/>
        <w:gridCol w:w="2084"/>
        <w:gridCol w:w="63"/>
        <w:gridCol w:w="2021"/>
        <w:gridCol w:w="131"/>
        <w:gridCol w:w="1953"/>
        <w:gridCol w:w="1947"/>
        <w:gridCol w:w="2022"/>
        <w:gridCol w:w="2127"/>
      </w:tblGrid>
      <w:tr w:rsidR="00F84C57" w:rsidRPr="00AC04D9" w14:paraId="2C9589AE" w14:textId="77777777" w:rsidTr="00534313">
        <w:tc>
          <w:tcPr>
            <w:tcW w:w="1681" w:type="dxa"/>
            <w:shd w:val="clear" w:color="auto" w:fill="BFBFBF" w:themeFill="background1" w:themeFillShade="BF"/>
          </w:tcPr>
          <w:p w14:paraId="39556DBD" w14:textId="77777777" w:rsidR="007F51D7" w:rsidRPr="00AC04D9" w:rsidRDefault="007F51D7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4299" w:type="dxa"/>
            <w:gridSpan w:val="4"/>
            <w:shd w:val="clear" w:color="auto" w:fill="BFBFBF" w:themeFill="background1" w:themeFillShade="BF"/>
          </w:tcPr>
          <w:p w14:paraId="6DE87960" w14:textId="76239A61" w:rsidR="007F51D7" w:rsidRPr="00335A41" w:rsidRDefault="007F51D7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</w:p>
        </w:tc>
        <w:tc>
          <w:tcPr>
            <w:tcW w:w="3900" w:type="dxa"/>
            <w:gridSpan w:val="2"/>
            <w:shd w:val="clear" w:color="auto" w:fill="BFBFBF" w:themeFill="background1" w:themeFillShade="BF"/>
          </w:tcPr>
          <w:p w14:paraId="22A3C9F5" w14:textId="32D61D4A" w:rsidR="007F51D7" w:rsidRPr="00AC04D9" w:rsidRDefault="007F51D7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Spring </w:t>
            </w:r>
          </w:p>
        </w:tc>
        <w:tc>
          <w:tcPr>
            <w:tcW w:w="4149" w:type="dxa"/>
            <w:gridSpan w:val="2"/>
            <w:shd w:val="clear" w:color="auto" w:fill="BFBFBF" w:themeFill="background1" w:themeFillShade="BF"/>
          </w:tcPr>
          <w:p w14:paraId="22FE7BEC" w14:textId="1A9AE959" w:rsidR="007F51D7" w:rsidRDefault="007F51D7" w:rsidP="00335A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</w:p>
        </w:tc>
      </w:tr>
      <w:tr w:rsidR="00F84C57" w:rsidRPr="00AC04D9" w14:paraId="28D0CA4F" w14:textId="77777777" w:rsidTr="00534313">
        <w:tc>
          <w:tcPr>
            <w:tcW w:w="1681" w:type="dxa"/>
            <w:shd w:val="clear" w:color="auto" w:fill="BFBFBF" w:themeFill="background1" w:themeFillShade="BF"/>
          </w:tcPr>
          <w:p w14:paraId="3A7154D6" w14:textId="77777777" w:rsidR="007F51D7" w:rsidRPr="00AC04D9" w:rsidRDefault="007F51D7" w:rsidP="00AC04D9">
            <w:pPr>
              <w:jc w:val="center"/>
              <w:rPr>
                <w:b/>
                <w:sz w:val="24"/>
              </w:rPr>
            </w:pPr>
          </w:p>
        </w:tc>
        <w:tc>
          <w:tcPr>
            <w:tcW w:w="2147" w:type="dxa"/>
            <w:gridSpan w:val="2"/>
            <w:shd w:val="clear" w:color="auto" w:fill="BFBFBF" w:themeFill="background1" w:themeFillShade="BF"/>
          </w:tcPr>
          <w:p w14:paraId="28D075A7" w14:textId="77777777" w:rsidR="007F51D7" w:rsidRPr="00AC04D9" w:rsidRDefault="007F51D7" w:rsidP="00AC04D9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1</w:t>
            </w:r>
          </w:p>
        </w:tc>
        <w:tc>
          <w:tcPr>
            <w:tcW w:w="2152" w:type="dxa"/>
            <w:gridSpan w:val="2"/>
            <w:shd w:val="clear" w:color="auto" w:fill="BFBFBF" w:themeFill="background1" w:themeFillShade="BF"/>
          </w:tcPr>
          <w:p w14:paraId="603E4E53" w14:textId="77777777" w:rsidR="007F51D7" w:rsidRPr="00AC04D9" w:rsidRDefault="007F51D7" w:rsidP="00AC04D9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>Learning Cycle 2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514FAB01" w14:textId="73DA331E" w:rsidR="007F51D7" w:rsidRPr="00AC04D9" w:rsidRDefault="007F51D7" w:rsidP="007F51D7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786031EE" w14:textId="2330B15A" w:rsidR="007F51D7" w:rsidRPr="00AC04D9" w:rsidRDefault="007F51D7" w:rsidP="007F51D7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14:paraId="6E48F1D7" w14:textId="57C870D7" w:rsidR="007F51D7" w:rsidRPr="00AC04D9" w:rsidRDefault="007F51D7" w:rsidP="007F51D7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F525668" w14:textId="5EA952E4" w:rsidR="007F51D7" w:rsidRPr="00AC04D9" w:rsidRDefault="007F51D7" w:rsidP="007F51D7">
            <w:pPr>
              <w:jc w:val="center"/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Learning Cycle </w:t>
            </w:r>
            <w:r>
              <w:rPr>
                <w:b/>
                <w:sz w:val="24"/>
              </w:rPr>
              <w:t>6</w:t>
            </w:r>
          </w:p>
        </w:tc>
      </w:tr>
      <w:tr w:rsidR="00D97D6F" w14:paraId="7F7BB83E" w14:textId="77777777" w:rsidTr="003C6094">
        <w:tc>
          <w:tcPr>
            <w:tcW w:w="1681" w:type="dxa"/>
            <w:shd w:val="clear" w:color="auto" w:fill="BFBFBF" w:themeFill="background1" w:themeFillShade="BF"/>
          </w:tcPr>
          <w:p w14:paraId="6CEE0666" w14:textId="77777777" w:rsidR="00D97D6F" w:rsidRPr="00AC04D9" w:rsidRDefault="00D97D6F">
            <w:pPr>
              <w:rPr>
                <w:b/>
                <w:sz w:val="24"/>
              </w:rPr>
            </w:pPr>
            <w:r w:rsidRPr="00AC04D9">
              <w:rPr>
                <w:b/>
                <w:sz w:val="24"/>
              </w:rPr>
              <w:t xml:space="preserve">Topic </w:t>
            </w:r>
          </w:p>
          <w:p w14:paraId="02785EC2" w14:textId="77777777" w:rsidR="00D97D6F" w:rsidRPr="00AC04D9" w:rsidRDefault="00D97D6F">
            <w:pPr>
              <w:rPr>
                <w:b/>
                <w:sz w:val="24"/>
              </w:rPr>
            </w:pP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59D6EA42" w14:textId="361C89D3" w:rsidR="00D97D6F" w:rsidRPr="007F51D7" w:rsidRDefault="0030101D" w:rsidP="007F51D7">
            <w:pPr>
              <w:jc w:val="center"/>
              <w:rPr>
                <w:b/>
              </w:rPr>
            </w:pPr>
            <w:r>
              <w:rPr>
                <w:b/>
              </w:rPr>
              <w:t>Personal Investigation</w:t>
            </w:r>
            <w:r w:rsidR="00254E41">
              <w:rPr>
                <w:b/>
              </w:rPr>
              <w:t xml:space="preserve"> Part One</w:t>
            </w:r>
          </w:p>
        </w:tc>
      </w:tr>
      <w:tr w:rsidR="00D97D6F" w14:paraId="1ADD905F" w14:textId="24E5C8A9" w:rsidTr="00935E59">
        <w:tc>
          <w:tcPr>
            <w:tcW w:w="1681" w:type="dxa"/>
            <w:shd w:val="clear" w:color="auto" w:fill="BFBFBF" w:themeFill="background1" w:themeFillShade="BF"/>
          </w:tcPr>
          <w:p w14:paraId="7AF764A9" w14:textId="63753127" w:rsidR="00D97D6F" w:rsidRDefault="00D97D6F" w:rsidP="007770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Critical Prior Knowledge </w:t>
            </w: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65AF8F79" w14:textId="1A25B3C5" w:rsidR="0030101D" w:rsidRDefault="0030101D" w:rsidP="0030101D">
            <w:r>
              <w:t>Any knowledge gained throughout Key Stage 3 may be utilised during Personal Investigation.</w:t>
            </w:r>
          </w:p>
          <w:p w14:paraId="6323D3AF" w14:textId="087C64B2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Understanding of the Visual Elements</w:t>
            </w:r>
          </w:p>
          <w:p w14:paraId="4E9914EE" w14:textId="411F51C6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Use of Tone</w:t>
            </w:r>
          </w:p>
          <w:p w14:paraId="6990F9F6" w14:textId="1025C9E8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Colour Theory</w:t>
            </w:r>
          </w:p>
          <w:p w14:paraId="0A620D24" w14:textId="77777777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Portraiture</w:t>
            </w:r>
          </w:p>
          <w:p w14:paraId="2CF1D7C9" w14:textId="77777777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Landscape</w:t>
            </w:r>
          </w:p>
          <w:p w14:paraId="0F75A36C" w14:textId="49A30564" w:rsidR="00D97D6F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Linear Perspective</w:t>
            </w:r>
          </w:p>
          <w:p w14:paraId="0E12A2C0" w14:textId="301D85A7" w:rsidR="0042156E" w:rsidRDefault="0042156E" w:rsidP="0030101D">
            <w:pPr>
              <w:pStyle w:val="ListParagraph"/>
              <w:numPr>
                <w:ilvl w:val="0"/>
                <w:numId w:val="10"/>
              </w:numPr>
            </w:pPr>
            <w:r>
              <w:t>Design skills</w:t>
            </w:r>
          </w:p>
          <w:p w14:paraId="08B22B1C" w14:textId="77777777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Artist Studies</w:t>
            </w:r>
          </w:p>
          <w:p w14:paraId="51DAAE24" w14:textId="37286FC3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Culture Studies</w:t>
            </w:r>
          </w:p>
          <w:p w14:paraId="2554647B" w14:textId="2E81C822" w:rsidR="00DE5E55" w:rsidRDefault="00DE5E55" w:rsidP="0030101D">
            <w:pPr>
              <w:pStyle w:val="ListParagraph"/>
              <w:numPr>
                <w:ilvl w:val="0"/>
                <w:numId w:val="10"/>
              </w:numPr>
            </w:pPr>
            <w:r>
              <w:t>Selection of appropriate media and techniques</w:t>
            </w:r>
          </w:p>
          <w:p w14:paraId="7B4A1190" w14:textId="77777777" w:rsidR="0030101D" w:rsidRDefault="0030101D" w:rsidP="0030101D">
            <w:pPr>
              <w:pStyle w:val="ListParagraph"/>
              <w:numPr>
                <w:ilvl w:val="0"/>
                <w:numId w:val="10"/>
              </w:numPr>
            </w:pPr>
            <w:r>
              <w:t>Creative Development of Ideas</w:t>
            </w:r>
          </w:p>
          <w:p w14:paraId="1E4FB757" w14:textId="4082F6FD" w:rsidR="001D0520" w:rsidRDefault="001D0520" w:rsidP="001D0520">
            <w:pPr>
              <w:pStyle w:val="ListParagraph"/>
            </w:pPr>
          </w:p>
        </w:tc>
      </w:tr>
      <w:tr w:rsidR="00D97D6F" w14:paraId="1FDC97C4" w14:textId="77777777" w:rsidTr="00225C9A">
        <w:tc>
          <w:tcPr>
            <w:tcW w:w="1681" w:type="dxa"/>
            <w:shd w:val="clear" w:color="auto" w:fill="BFBFBF" w:themeFill="background1" w:themeFillShade="BF"/>
          </w:tcPr>
          <w:p w14:paraId="48582952" w14:textId="54A7711C" w:rsidR="00D97D6F" w:rsidRDefault="00D97D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Intent</w:t>
            </w:r>
          </w:p>
          <w:p w14:paraId="7935FFEF" w14:textId="4C33BBC1" w:rsidR="00D97D6F" w:rsidRDefault="00D97D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(Big ideas and key concepts)</w:t>
            </w:r>
          </w:p>
          <w:p w14:paraId="27A8692A" w14:textId="77777777" w:rsidR="00D97D6F" w:rsidRPr="00AC04D9" w:rsidRDefault="00D97D6F">
            <w:pPr>
              <w:rPr>
                <w:b/>
                <w:sz w:val="24"/>
              </w:rPr>
            </w:pP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49D0C2DF" w14:textId="1E1FA6B7" w:rsidR="00D97D6F" w:rsidRDefault="0030101D" w:rsidP="004D51D7">
            <w:r>
              <w:t>The Personal Investigation should allow students to demonstrate their understanding of content learned throughout Key Stage 3</w:t>
            </w:r>
            <w:r w:rsidR="007E32EE">
              <w:t>, and allow them to develop this procedural knowledge further through independent study throughout Key Stage 4.</w:t>
            </w:r>
          </w:p>
          <w:p w14:paraId="35F3738F" w14:textId="77777777" w:rsidR="0030101D" w:rsidRDefault="0030101D" w:rsidP="004D51D7">
            <w:r>
              <w:t>Students will be given a title to a theme, which they will develop over the course of the year, exploring a wide range of media, techniques and processes, and linking their ideas and eventual outcome to contextual sources – artistic, cultural</w:t>
            </w:r>
            <w:r w:rsidR="00EF58C1">
              <w:t xml:space="preserve"> etc.</w:t>
            </w:r>
          </w:p>
          <w:p w14:paraId="6BE80E8C" w14:textId="05727A50" w:rsidR="00EF58C1" w:rsidRDefault="00EF58C1" w:rsidP="004D51D7">
            <w:r>
              <w:t>Students will be given the opportunity to explore processes such as Painting and Drawing, Photography, Printmaking, Digital Media, Three Dimensional</w:t>
            </w:r>
            <w:r w:rsidR="00B57B90">
              <w:t xml:space="preserve"> art/</w:t>
            </w:r>
            <w:r>
              <w:t>craft/design, Animation etc. and will ultimately utilise one or some of these in reaching a conclusion to their Investigation.</w:t>
            </w:r>
          </w:p>
          <w:p w14:paraId="76F53A9B" w14:textId="2018A113" w:rsidR="001D0520" w:rsidRDefault="001D0520" w:rsidP="004D51D7"/>
        </w:tc>
      </w:tr>
      <w:tr w:rsidR="007C4411" w14:paraId="6B4E8750" w14:textId="77777777" w:rsidTr="00A456FF">
        <w:tc>
          <w:tcPr>
            <w:tcW w:w="1681" w:type="dxa"/>
            <w:shd w:val="clear" w:color="auto" w:fill="BFBFBF" w:themeFill="background1" w:themeFillShade="BF"/>
          </w:tcPr>
          <w:p w14:paraId="2A5BAD25" w14:textId="3BB2963B" w:rsidR="007C4411" w:rsidRDefault="007C4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  <w:p w14:paraId="6CB6FC23" w14:textId="4D3A260E" w:rsidR="007C4411" w:rsidRDefault="007C4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Knowledge milestones </w:t>
            </w:r>
          </w:p>
          <w:p w14:paraId="1CD67577" w14:textId="2604E7A2" w:rsidR="007C4411" w:rsidRPr="00AC04D9" w:rsidRDefault="007C4411" w:rsidP="00DE5E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(What students must master)</w:t>
            </w: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44C5E87E" w14:textId="77777777" w:rsidR="007C4411" w:rsidRDefault="007C4411" w:rsidP="007C4411">
            <w:pPr>
              <w:pStyle w:val="ListParagraph"/>
              <w:numPr>
                <w:ilvl w:val="0"/>
                <w:numId w:val="10"/>
              </w:numPr>
            </w:pPr>
            <w:r>
              <w:t>Consolidation of knowledge learned throughout Key Stage 3 (see Critical Prior Knowledge)</w:t>
            </w:r>
          </w:p>
          <w:p w14:paraId="757A8516" w14:textId="77777777" w:rsidR="007C4411" w:rsidRDefault="007C4411" w:rsidP="007C4411">
            <w:pPr>
              <w:pStyle w:val="ListParagraph"/>
              <w:numPr>
                <w:ilvl w:val="0"/>
                <w:numId w:val="10"/>
              </w:numPr>
            </w:pPr>
            <w:r>
              <w:t>An awareness of how to independently develop creative ideas in response to a theme.</w:t>
            </w:r>
          </w:p>
          <w:p w14:paraId="19B1676B" w14:textId="77777777" w:rsidR="007C4411" w:rsidRDefault="007C4411" w:rsidP="007C4411">
            <w:pPr>
              <w:pStyle w:val="ListParagraph"/>
              <w:numPr>
                <w:ilvl w:val="0"/>
                <w:numId w:val="10"/>
              </w:numPr>
            </w:pPr>
            <w:r>
              <w:t>An understanding of available media, techniques and processes.</w:t>
            </w:r>
          </w:p>
          <w:p w14:paraId="0D541B51" w14:textId="77777777" w:rsidR="007C4411" w:rsidRDefault="007C4411" w:rsidP="007C4411">
            <w:pPr>
              <w:pStyle w:val="ListParagraph"/>
              <w:numPr>
                <w:ilvl w:val="0"/>
                <w:numId w:val="10"/>
              </w:numPr>
            </w:pPr>
            <w:r>
              <w:t>How to link ideas to contextual sources.</w:t>
            </w:r>
          </w:p>
          <w:p w14:paraId="7046C19E" w14:textId="77777777" w:rsidR="007C4411" w:rsidRDefault="007C4411" w:rsidP="007C4411">
            <w:pPr>
              <w:pStyle w:val="ListParagraph"/>
              <w:numPr>
                <w:ilvl w:val="0"/>
                <w:numId w:val="10"/>
              </w:numPr>
            </w:pPr>
            <w:r>
              <w:t>How to evaluate progress and outcomes.</w:t>
            </w:r>
          </w:p>
          <w:p w14:paraId="0F229C46" w14:textId="6E23154B" w:rsidR="00B57B90" w:rsidRDefault="00B57B90" w:rsidP="007C4411">
            <w:pPr>
              <w:pStyle w:val="ListParagraph"/>
              <w:numPr>
                <w:ilvl w:val="0"/>
                <w:numId w:val="10"/>
              </w:numPr>
            </w:pPr>
            <w:r>
              <w:t>Understanding of the Assessment Objectives, and where these can be found in own work.</w:t>
            </w:r>
          </w:p>
        </w:tc>
      </w:tr>
      <w:tr w:rsidR="00D97D6F" w14:paraId="74ADF14F" w14:textId="77777777" w:rsidTr="006E495E">
        <w:tc>
          <w:tcPr>
            <w:tcW w:w="1681" w:type="dxa"/>
            <w:shd w:val="clear" w:color="auto" w:fill="BFBFBF" w:themeFill="background1" w:themeFillShade="BF"/>
          </w:tcPr>
          <w:p w14:paraId="5C76705E" w14:textId="12535794" w:rsidR="00D97D6F" w:rsidRPr="00AC04D9" w:rsidRDefault="00D97D6F" w:rsidP="001D05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Cultural Capital</w:t>
            </w: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46655619" w14:textId="77777777" w:rsidR="00D97D6F" w:rsidRDefault="00BB4B30" w:rsidP="0075336D">
            <w:r>
              <w:t>Students will gain a greater understanding of the process of creative thinking, development of ideas and decision making.</w:t>
            </w:r>
          </w:p>
          <w:p w14:paraId="2E4820A2" w14:textId="77777777" w:rsidR="001D0520" w:rsidRDefault="00BB4B30" w:rsidP="001D0520">
            <w:r>
              <w:t>The independent nature of the personal investigation will give students greater confidence in autonomous working processes, which should be</w:t>
            </w:r>
            <w:r w:rsidR="001D0520">
              <w:t xml:space="preserve"> applicable to subjects throughout the curriculum, as well as in their broader lives.</w:t>
            </w:r>
          </w:p>
          <w:p w14:paraId="369327C6" w14:textId="22C9C7AA" w:rsidR="001D0520" w:rsidRDefault="001D0520" w:rsidP="001D0520"/>
        </w:tc>
      </w:tr>
      <w:tr w:rsidR="008C1062" w14:paraId="50EAF089" w14:textId="77777777" w:rsidTr="00D97D6F">
        <w:tc>
          <w:tcPr>
            <w:tcW w:w="1681" w:type="dxa"/>
            <w:shd w:val="clear" w:color="auto" w:fill="BFBFBF" w:themeFill="background1" w:themeFillShade="BF"/>
          </w:tcPr>
          <w:p w14:paraId="5E5E32A3" w14:textId="55044D72" w:rsidR="008C1062" w:rsidRPr="00AC04D9" w:rsidRDefault="00617E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Assessment Points</w:t>
            </w:r>
            <w:bookmarkStart w:id="0" w:name="_GoBack"/>
            <w:bookmarkEnd w:id="0"/>
          </w:p>
        </w:tc>
        <w:tc>
          <w:tcPr>
            <w:tcW w:w="2084" w:type="dxa"/>
            <w:shd w:val="clear" w:color="auto" w:fill="FFF2CC" w:themeFill="accent4" w:themeFillTint="33"/>
          </w:tcPr>
          <w:p w14:paraId="3AD408E7" w14:textId="46FDB99E" w:rsidR="008C106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AO3 (Record)</w:t>
            </w:r>
          </w:p>
        </w:tc>
        <w:tc>
          <w:tcPr>
            <w:tcW w:w="2084" w:type="dxa"/>
            <w:gridSpan w:val="2"/>
            <w:shd w:val="clear" w:color="auto" w:fill="FFF2CC" w:themeFill="accent4" w:themeFillTint="33"/>
          </w:tcPr>
          <w:p w14:paraId="673B1B7D" w14:textId="56B60C7D" w:rsidR="008C106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AO2 (Refine)</w:t>
            </w:r>
          </w:p>
          <w:p w14:paraId="736662E7" w14:textId="35F907DD" w:rsidR="00D36D9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AO1 (Develop)</w:t>
            </w:r>
          </w:p>
        </w:tc>
        <w:tc>
          <w:tcPr>
            <w:tcW w:w="2084" w:type="dxa"/>
            <w:gridSpan w:val="2"/>
            <w:shd w:val="clear" w:color="auto" w:fill="FFF2CC" w:themeFill="accent4" w:themeFillTint="33"/>
          </w:tcPr>
          <w:p w14:paraId="2B16D77A" w14:textId="77777777" w:rsidR="00D36D9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AO3 (Record)</w:t>
            </w:r>
          </w:p>
          <w:p w14:paraId="1B521681" w14:textId="5AC23750" w:rsidR="00726EAF" w:rsidRDefault="00726EAF" w:rsidP="00726EAF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AO2 (Refine)</w:t>
            </w:r>
          </w:p>
        </w:tc>
        <w:tc>
          <w:tcPr>
            <w:tcW w:w="1947" w:type="dxa"/>
            <w:shd w:val="clear" w:color="auto" w:fill="FFF2CC" w:themeFill="accent4" w:themeFillTint="33"/>
          </w:tcPr>
          <w:p w14:paraId="37361CF8" w14:textId="557629FF" w:rsidR="008C106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AO1/ AO4 (Develop/ Present)</w:t>
            </w:r>
          </w:p>
        </w:tc>
        <w:tc>
          <w:tcPr>
            <w:tcW w:w="2022" w:type="dxa"/>
            <w:shd w:val="clear" w:color="auto" w:fill="FFF2CC" w:themeFill="accent4" w:themeFillTint="33"/>
          </w:tcPr>
          <w:p w14:paraId="0DB461DE" w14:textId="5C8552B9" w:rsidR="008C106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AO3 (Record)</w:t>
            </w:r>
          </w:p>
          <w:p w14:paraId="07F251F3" w14:textId="76921A7A" w:rsidR="00D36D92" w:rsidRDefault="00726EAF" w:rsidP="00D36D92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AO2 (Refine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EA9B301" w14:textId="33291E76" w:rsidR="008C1062" w:rsidRDefault="00726EAF" w:rsidP="00726EAF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AO1/AO4 (Develop/ Present)</w:t>
            </w:r>
          </w:p>
        </w:tc>
      </w:tr>
      <w:tr w:rsidR="00DE5E55" w14:paraId="1DD61E86" w14:textId="77777777" w:rsidTr="00852E27">
        <w:tc>
          <w:tcPr>
            <w:tcW w:w="1681" w:type="dxa"/>
            <w:shd w:val="clear" w:color="auto" w:fill="BFBFBF" w:themeFill="background1" w:themeFillShade="BF"/>
          </w:tcPr>
          <w:p w14:paraId="75CCA54A" w14:textId="1654B4AB" w:rsidR="00DE5E55" w:rsidRDefault="00DE5E55" w:rsidP="00DE5E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ECC Student Characteristics</w:t>
            </w:r>
          </w:p>
          <w:p w14:paraId="46EE0563" w14:textId="77777777" w:rsidR="00DE5E55" w:rsidRPr="00AC04D9" w:rsidRDefault="00DE5E55" w:rsidP="00DE5E55">
            <w:pPr>
              <w:rPr>
                <w:b/>
                <w:sz w:val="24"/>
              </w:rPr>
            </w:pP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1F60069A" w14:textId="77777777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Resilient</w:t>
            </w:r>
          </w:p>
          <w:p w14:paraId="637EFFB5" w14:textId="77777777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Aspirational and Careers Aware</w:t>
            </w:r>
          </w:p>
          <w:p w14:paraId="672160B8" w14:textId="77777777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Respectful</w:t>
            </w:r>
          </w:p>
          <w:p w14:paraId="26FAE672" w14:textId="77777777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Effective and Confident Communicators</w:t>
            </w:r>
          </w:p>
          <w:p w14:paraId="13178551" w14:textId="77777777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Understand the Importance of Equality, Diversity and be Mutually Tolerant</w:t>
            </w:r>
          </w:p>
          <w:p w14:paraId="416ABED9" w14:textId="77777777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Knowledgeable</w:t>
            </w:r>
          </w:p>
          <w:p w14:paraId="0A961500" w14:textId="006BC4D5" w:rsidR="00DE5E55" w:rsidRDefault="00DE5E55" w:rsidP="00DE5E55">
            <w:pPr>
              <w:pStyle w:val="ListParagraph"/>
              <w:numPr>
                <w:ilvl w:val="0"/>
                <w:numId w:val="10"/>
              </w:numPr>
            </w:pPr>
            <w:r>
              <w:t>Skilled</w:t>
            </w:r>
          </w:p>
        </w:tc>
      </w:tr>
      <w:tr w:rsidR="00DE5E55" w14:paraId="09270F1A" w14:textId="77777777" w:rsidTr="00E85639">
        <w:tc>
          <w:tcPr>
            <w:tcW w:w="1681" w:type="dxa"/>
            <w:shd w:val="clear" w:color="auto" w:fill="BFBFBF" w:themeFill="background1" w:themeFillShade="BF"/>
          </w:tcPr>
          <w:p w14:paraId="1A3AF55F" w14:textId="77777777" w:rsidR="00DE5E55" w:rsidRDefault="00DE5E55" w:rsidP="00DE5E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Connection to future learning</w:t>
            </w:r>
          </w:p>
          <w:p w14:paraId="797BB41A" w14:textId="725874CA" w:rsidR="00DE5E55" w:rsidRDefault="00DE5E55" w:rsidP="00DE5E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(When is this developed / revisited)?</w:t>
            </w:r>
          </w:p>
        </w:tc>
        <w:tc>
          <w:tcPr>
            <w:tcW w:w="12348" w:type="dxa"/>
            <w:gridSpan w:val="8"/>
            <w:shd w:val="clear" w:color="auto" w:fill="FFF2CC" w:themeFill="accent4" w:themeFillTint="33"/>
          </w:tcPr>
          <w:p w14:paraId="19917EE6" w14:textId="71C46AC8" w:rsidR="00DE5E55" w:rsidRDefault="009B1F6A" w:rsidP="00726EAF">
            <w:r>
              <w:t xml:space="preserve">All knowledge and skills developed throughout Key Stage </w:t>
            </w:r>
            <w:r w:rsidR="00726EAF">
              <w:t>4</w:t>
            </w:r>
            <w:r>
              <w:t xml:space="preserve"> can be applied at Key Stage 5. The Personal Investigation </w:t>
            </w:r>
            <w:r w:rsidR="00726EAF">
              <w:t>allows</w:t>
            </w:r>
            <w:r>
              <w:t xml:space="preserve"> students to become familiar with the independent creative process involved and the methods of Recording, </w:t>
            </w:r>
            <w:r w:rsidR="00726EAF">
              <w:t>Refining</w:t>
            </w:r>
            <w:r>
              <w:t xml:space="preserve">, Developing and </w:t>
            </w:r>
            <w:r w:rsidR="00726EAF">
              <w:t>Presenting</w:t>
            </w:r>
            <w:r>
              <w:t xml:space="preserve"> Outcomes which exist as the Assessment Objectives throughout GCSE and A Level Art and Design.</w:t>
            </w:r>
          </w:p>
        </w:tc>
      </w:tr>
    </w:tbl>
    <w:p w14:paraId="3A5DADA2" w14:textId="77777777" w:rsidR="00AC04D9" w:rsidRDefault="00AC04D9" w:rsidP="00471B49"/>
    <w:sectPr w:rsidR="00AC04D9" w:rsidSect="00AB1CA0">
      <w:pgSz w:w="16840" w:h="23808" w:code="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411F"/>
    <w:multiLevelType w:val="hybridMultilevel"/>
    <w:tmpl w:val="ED8A7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2965"/>
    <w:multiLevelType w:val="hybridMultilevel"/>
    <w:tmpl w:val="85569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CB2"/>
    <w:multiLevelType w:val="hybridMultilevel"/>
    <w:tmpl w:val="3E78D822"/>
    <w:lvl w:ilvl="0" w:tplc="BD947C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3AA4"/>
    <w:multiLevelType w:val="hybridMultilevel"/>
    <w:tmpl w:val="34D8A6B4"/>
    <w:lvl w:ilvl="0" w:tplc="6BC24B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5F47"/>
    <w:multiLevelType w:val="hybridMultilevel"/>
    <w:tmpl w:val="52561B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67D1B"/>
    <w:multiLevelType w:val="hybridMultilevel"/>
    <w:tmpl w:val="F1724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4B49"/>
    <w:multiLevelType w:val="hybridMultilevel"/>
    <w:tmpl w:val="DDC2D728"/>
    <w:lvl w:ilvl="0" w:tplc="FF38D3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3D9403C"/>
    <w:multiLevelType w:val="hybridMultilevel"/>
    <w:tmpl w:val="F3908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35C"/>
    <w:multiLevelType w:val="hybridMultilevel"/>
    <w:tmpl w:val="D77A2324"/>
    <w:lvl w:ilvl="0" w:tplc="BD947C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A52ED"/>
    <w:multiLevelType w:val="hybridMultilevel"/>
    <w:tmpl w:val="9E6AD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0F31"/>
    <w:multiLevelType w:val="hybridMultilevel"/>
    <w:tmpl w:val="62302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D9"/>
    <w:rsid w:val="00001A30"/>
    <w:rsid w:val="000378C2"/>
    <w:rsid w:val="000424F7"/>
    <w:rsid w:val="00117786"/>
    <w:rsid w:val="0014532A"/>
    <w:rsid w:val="001D0520"/>
    <w:rsid w:val="001D2CDD"/>
    <w:rsid w:val="001F3AA9"/>
    <w:rsid w:val="00254E41"/>
    <w:rsid w:val="0027456C"/>
    <w:rsid w:val="00291BCC"/>
    <w:rsid w:val="0030101D"/>
    <w:rsid w:val="00335A41"/>
    <w:rsid w:val="00374486"/>
    <w:rsid w:val="00390AD6"/>
    <w:rsid w:val="003A4CAB"/>
    <w:rsid w:val="0042156E"/>
    <w:rsid w:val="00471B49"/>
    <w:rsid w:val="004C1C7D"/>
    <w:rsid w:val="004D51D7"/>
    <w:rsid w:val="00534313"/>
    <w:rsid w:val="005C259D"/>
    <w:rsid w:val="00617EFE"/>
    <w:rsid w:val="006C427C"/>
    <w:rsid w:val="006F713F"/>
    <w:rsid w:val="00726EAF"/>
    <w:rsid w:val="0075336D"/>
    <w:rsid w:val="0077704C"/>
    <w:rsid w:val="007C4411"/>
    <w:rsid w:val="007E32EE"/>
    <w:rsid w:val="007F51D7"/>
    <w:rsid w:val="00813289"/>
    <w:rsid w:val="00826284"/>
    <w:rsid w:val="008B152A"/>
    <w:rsid w:val="008C1062"/>
    <w:rsid w:val="009B1F6A"/>
    <w:rsid w:val="009E4A74"/>
    <w:rsid w:val="00A04373"/>
    <w:rsid w:val="00A13CD8"/>
    <w:rsid w:val="00A659F7"/>
    <w:rsid w:val="00A66DEA"/>
    <w:rsid w:val="00AB1CA0"/>
    <w:rsid w:val="00AC04D9"/>
    <w:rsid w:val="00AE237A"/>
    <w:rsid w:val="00B05721"/>
    <w:rsid w:val="00B57B90"/>
    <w:rsid w:val="00BA178C"/>
    <w:rsid w:val="00BB4B30"/>
    <w:rsid w:val="00C87573"/>
    <w:rsid w:val="00CC5C51"/>
    <w:rsid w:val="00D07560"/>
    <w:rsid w:val="00D36D92"/>
    <w:rsid w:val="00D97D6F"/>
    <w:rsid w:val="00DE5E55"/>
    <w:rsid w:val="00DF4C66"/>
    <w:rsid w:val="00DF7844"/>
    <w:rsid w:val="00E36656"/>
    <w:rsid w:val="00ED020C"/>
    <w:rsid w:val="00EF58C1"/>
    <w:rsid w:val="00F04BA1"/>
    <w:rsid w:val="00F84C57"/>
    <w:rsid w:val="3AB47747"/>
    <w:rsid w:val="5DAA346A"/>
    <w:rsid w:val="6AD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56AF"/>
  <w15:chartTrackingRefBased/>
  <w15:docId w15:val="{5F8344DC-DB62-4545-81BE-4FF4DD8A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6B5E8737DE4593CDAF636151663B" ma:contentTypeVersion="11" ma:contentTypeDescription="Create a new document." ma:contentTypeScope="" ma:versionID="78129f37d3143fd521e190576621d5f5">
  <xsd:schema xmlns:xsd="http://www.w3.org/2001/XMLSchema" xmlns:xs="http://www.w3.org/2001/XMLSchema" xmlns:p="http://schemas.microsoft.com/office/2006/metadata/properties" xmlns:ns2="4713b1fe-f74b-4eb6-b9df-a619dfcddc30" xmlns:ns3="3424b063-ce2d-4898-a49f-50bf0e8825fe" targetNamespace="http://schemas.microsoft.com/office/2006/metadata/properties" ma:root="true" ma:fieldsID="ac8debf7f86d735feeef5a94f68ae239" ns2:_="" ns3:_="">
    <xsd:import namespace="4713b1fe-f74b-4eb6-b9df-a619dfcddc30"/>
    <xsd:import namespace="3424b063-ce2d-4898-a49f-50bf0e882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b1fe-f74b-4eb6-b9df-a619dfcd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b063-ce2d-4898-a49f-50bf0e882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445BC-D85A-4928-A82C-DE2F522AD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0F40F-3CD9-45E9-A26E-274659EC88F7}"/>
</file>

<file path=customXml/itemProps3.xml><?xml version="1.0" encoding="utf-8"?>
<ds:datastoreItem xmlns:ds="http://schemas.openxmlformats.org/officeDocument/2006/customXml" ds:itemID="{7FE71B0F-8C7B-4D3E-BFA7-68A462216716}">
  <ds:schemaRefs>
    <ds:schemaRef ds:uri="http://purl.org/dc/terms/"/>
    <ds:schemaRef ds:uri="49801ad6-b6bf-46e4-9c8b-6a1eaa7a48e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1d94029c-078e-4d87-b17a-65f72f99882b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Malton</dc:creator>
  <cp:keywords/>
  <dc:description/>
  <cp:lastModifiedBy>Jon.Perry</cp:lastModifiedBy>
  <cp:revision>8</cp:revision>
  <cp:lastPrinted>2021-06-28T09:04:00Z</cp:lastPrinted>
  <dcterms:created xsi:type="dcterms:W3CDTF">2021-06-28T11:48:00Z</dcterms:created>
  <dcterms:modified xsi:type="dcterms:W3CDTF">2021-07-12T08:54:00Z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0x010100080D6B5E8737DE4593CDAF636151663B</vt:lpwstr>
  </property>
</Properties>
</file>