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7D0" w:rsidRDefault="00D61A53" w:rsidP="002D5117">
      <w:pPr>
        <w:spacing w:line="240" w:lineRule="auto"/>
        <w:ind w:left="-2324" w:right="-1191"/>
        <w:jc w:val="center"/>
        <w:rPr>
          <w:rFonts w:ascii="Comic Sans MS" w:hAnsi="Comic Sans MS"/>
          <w:b/>
          <w:sz w:val="24"/>
          <w:szCs w:val="24"/>
        </w:rPr>
      </w:pPr>
      <w:r w:rsidRPr="00C32804">
        <w:rPr>
          <w:rFonts w:ascii="Comic Sans MS" w:hAnsi="Comic Sans MS"/>
          <w:b/>
          <w:sz w:val="24"/>
          <w:szCs w:val="24"/>
        </w:rPr>
        <w:t xml:space="preserve">           </w:t>
      </w:r>
      <w:r w:rsidR="006A57D0" w:rsidRPr="00C32804">
        <w:rPr>
          <w:rFonts w:ascii="Comic Sans MS" w:hAnsi="Comic Sans MS"/>
          <w:b/>
          <w:sz w:val="24"/>
          <w:szCs w:val="24"/>
        </w:rPr>
        <w:t>HE</w:t>
      </w:r>
      <w:r w:rsidR="00C32804" w:rsidRPr="00C32804">
        <w:rPr>
          <w:rFonts w:ascii="Comic Sans MS" w:hAnsi="Comic Sans MS"/>
          <w:b/>
          <w:sz w:val="24"/>
          <w:szCs w:val="24"/>
        </w:rPr>
        <w:t>ALTH AND SOCIAL CARE – COMP 2</w:t>
      </w:r>
      <w:r w:rsidR="006A57D0" w:rsidRPr="00C32804">
        <w:rPr>
          <w:rFonts w:ascii="Comic Sans MS" w:hAnsi="Comic Sans MS"/>
          <w:b/>
          <w:sz w:val="24"/>
          <w:szCs w:val="24"/>
        </w:rPr>
        <w:t xml:space="preserve"> KNOWLEDGE ORGANISER</w:t>
      </w:r>
    </w:p>
    <w:p w:rsidR="002D5117" w:rsidRPr="00C32804" w:rsidRDefault="005C5CE8" w:rsidP="002D5117">
      <w:pPr>
        <w:spacing w:line="240" w:lineRule="auto"/>
        <w:ind w:left="-2324" w:right="-1191"/>
        <w:jc w:val="center"/>
        <w:rPr>
          <w:rFonts w:ascii="Comic Sans MS" w:hAnsi="Comic Sans MS"/>
          <w:b/>
          <w:sz w:val="24"/>
          <w:szCs w:val="24"/>
          <w:u w:val="single"/>
        </w:rPr>
      </w:pPr>
      <w:r>
        <w:rPr>
          <w:rFonts w:ascii="Comic Sans MS" w:hAnsi="Comic Sans MS"/>
          <w:b/>
          <w:sz w:val="24"/>
          <w:szCs w:val="24"/>
          <w:u w:val="single"/>
        </w:rPr>
        <w:t xml:space="preserve">A3 Barriers to accessing </w:t>
      </w:r>
      <w:r w:rsidR="00240DCC">
        <w:rPr>
          <w:rFonts w:ascii="Comic Sans MS" w:hAnsi="Comic Sans MS"/>
          <w:b/>
          <w:sz w:val="24"/>
          <w:szCs w:val="24"/>
          <w:u w:val="single"/>
        </w:rPr>
        <w:t>H&amp;SC service and how they can be overcome</w:t>
      </w:r>
      <w:r w:rsidR="00D61A53" w:rsidRPr="00C32804">
        <w:rPr>
          <w:rFonts w:ascii="Comic Sans MS" w:hAnsi="Comic Sans MS"/>
          <w:b/>
          <w:sz w:val="24"/>
          <w:szCs w:val="24"/>
        </w:rPr>
        <w:t xml:space="preserve">        </w:t>
      </w:r>
      <w:bookmarkStart w:id="0" w:name="_GoBack"/>
      <w:bookmarkEnd w:id="0"/>
    </w:p>
    <w:tbl>
      <w:tblPr>
        <w:tblStyle w:val="TableGrid"/>
        <w:tblpPr w:leftFromText="180" w:rightFromText="180" w:vertAnchor="page" w:horzAnchor="page" w:tblpX="543" w:tblpY="2648"/>
        <w:tblW w:w="10768" w:type="dxa"/>
        <w:tblLook w:val="04A0" w:firstRow="1" w:lastRow="0" w:firstColumn="1" w:lastColumn="0" w:noHBand="0" w:noVBand="1"/>
      </w:tblPr>
      <w:tblGrid>
        <w:gridCol w:w="10768"/>
      </w:tblGrid>
      <w:tr w:rsidR="002D5117" w:rsidRPr="00C32804" w:rsidTr="00240DCC">
        <w:trPr>
          <w:trHeight w:val="963"/>
        </w:trPr>
        <w:tc>
          <w:tcPr>
            <w:tcW w:w="10768" w:type="dxa"/>
            <w:tcBorders>
              <w:top w:val="single" w:sz="12" w:space="0" w:color="auto"/>
              <w:left w:val="single" w:sz="12" w:space="0" w:color="auto"/>
              <w:bottom w:val="single" w:sz="12" w:space="0" w:color="auto"/>
              <w:right w:val="single" w:sz="12" w:space="0" w:color="auto"/>
            </w:tcBorders>
          </w:tcPr>
          <w:p w:rsidR="005C5CE8" w:rsidRPr="00240DCC" w:rsidRDefault="005C5CE8" w:rsidP="005C5CE8">
            <w:pPr>
              <w:rPr>
                <w:rFonts w:ascii="Comic Sans MS" w:hAnsi="Comic Sans MS"/>
                <w:sz w:val="24"/>
                <w:szCs w:val="24"/>
              </w:rPr>
            </w:pPr>
            <w:r w:rsidRPr="00240DCC">
              <w:rPr>
                <w:rFonts w:ascii="Comic Sans MS" w:hAnsi="Comic Sans MS"/>
                <w:b/>
                <w:sz w:val="24"/>
                <w:szCs w:val="24"/>
              </w:rPr>
              <w:t>Barriers to accessing services</w:t>
            </w:r>
            <w:r w:rsidRPr="00240DCC">
              <w:rPr>
                <w:rFonts w:ascii="Comic Sans MS" w:hAnsi="Comic Sans MS"/>
                <w:sz w:val="24"/>
                <w:szCs w:val="24"/>
              </w:rPr>
              <w:t xml:space="preserve"> - </w:t>
            </w:r>
            <w:r w:rsidRPr="00240DCC">
              <w:rPr>
                <w:rFonts w:ascii="Comic Sans MS" w:hAnsi="Comic Sans MS"/>
              </w:rPr>
              <w:t>explore barriers that can make it difficult for service users to use services and suggest how the barriers can be overcome.</w:t>
            </w:r>
          </w:p>
          <w:p w:rsidR="00240DCC" w:rsidRDefault="005C5CE8" w:rsidP="00240DCC">
            <w:pPr>
              <w:rPr>
                <w:rFonts w:ascii="Comic Sans MS" w:hAnsi="Comic Sans MS"/>
                <w:sz w:val="24"/>
                <w:szCs w:val="24"/>
              </w:rPr>
            </w:pPr>
            <w:r w:rsidRPr="00240DCC">
              <w:rPr>
                <w:rFonts w:ascii="Comic Sans MS" w:hAnsi="Comic Sans MS"/>
                <w:b/>
                <w:sz w:val="24"/>
                <w:szCs w:val="24"/>
              </w:rPr>
              <w:t>Definition of barriers</w:t>
            </w:r>
            <w:r w:rsidRPr="00240DCC">
              <w:rPr>
                <w:rFonts w:ascii="Comic Sans MS" w:hAnsi="Comic Sans MS"/>
                <w:sz w:val="24"/>
                <w:szCs w:val="24"/>
              </w:rPr>
              <w:t>:</w:t>
            </w:r>
          </w:p>
          <w:p w:rsidR="00240DCC" w:rsidRPr="00240DCC" w:rsidRDefault="005C5CE8" w:rsidP="00240DCC">
            <w:pPr>
              <w:pStyle w:val="ListParagraph"/>
              <w:numPr>
                <w:ilvl w:val="0"/>
                <w:numId w:val="15"/>
              </w:numPr>
              <w:rPr>
                <w:rFonts w:ascii="Comic Sans MS" w:hAnsi="Comic Sans MS"/>
              </w:rPr>
            </w:pPr>
            <w:proofErr w:type="gramStart"/>
            <w:r w:rsidRPr="00240DCC">
              <w:rPr>
                <w:rFonts w:ascii="Comic Sans MS" w:hAnsi="Comic Sans MS"/>
              </w:rPr>
              <w:t>something</w:t>
            </w:r>
            <w:proofErr w:type="gramEnd"/>
            <w:r w:rsidRPr="00240DCC">
              <w:rPr>
                <w:rFonts w:ascii="Comic Sans MS" w:hAnsi="Comic Sans MS"/>
              </w:rPr>
              <w:t xml:space="preserve"> unique to the health and social care system that prevents an individual to access a service.</w:t>
            </w:r>
          </w:p>
          <w:p w:rsidR="00240DCC" w:rsidRPr="00240DCC" w:rsidRDefault="005C5CE8" w:rsidP="00240DCC">
            <w:pPr>
              <w:rPr>
                <w:rFonts w:ascii="Comic Sans MS" w:hAnsi="Comic Sans MS"/>
                <w:b/>
                <w:sz w:val="24"/>
                <w:szCs w:val="24"/>
              </w:rPr>
            </w:pPr>
            <w:r w:rsidRPr="00240DCC">
              <w:rPr>
                <w:rFonts w:ascii="Comic Sans MS" w:hAnsi="Comic Sans MS"/>
                <w:b/>
                <w:sz w:val="24"/>
                <w:szCs w:val="24"/>
              </w:rPr>
              <w:t>Types of barrier and how they can be overcome by the service providers or users</w:t>
            </w:r>
          </w:p>
          <w:p w:rsidR="00240DCC" w:rsidRPr="00240DCC" w:rsidRDefault="00610AF1" w:rsidP="00240DCC">
            <w:pPr>
              <w:pStyle w:val="ListParagraph"/>
              <w:numPr>
                <w:ilvl w:val="0"/>
                <w:numId w:val="14"/>
              </w:numPr>
              <w:rPr>
                <w:rFonts w:ascii="Comic Sans MS" w:hAnsi="Comic Sans MS"/>
              </w:rPr>
            </w:pPr>
            <w:r w:rsidRPr="00AB1A52">
              <w:rPr>
                <w:noProof/>
                <w:highlight w:val="green"/>
                <w:lang w:eastAsia="en-GB"/>
              </w:rPr>
              <w:drawing>
                <wp:anchor distT="0" distB="0" distL="114300" distR="114300" simplePos="0" relativeHeight="251658240" behindDoc="0" locked="0" layoutInCell="1" allowOverlap="1">
                  <wp:simplePos x="0" y="0"/>
                  <wp:positionH relativeFrom="column">
                    <wp:posOffset>4808220</wp:posOffset>
                  </wp:positionH>
                  <wp:positionV relativeFrom="paragraph">
                    <wp:posOffset>102235</wp:posOffset>
                  </wp:positionV>
                  <wp:extent cx="1745615" cy="1817370"/>
                  <wp:effectExtent l="0" t="0" r="6985" b="0"/>
                  <wp:wrapSquare wrapText="bothSides"/>
                  <wp:docPr id="3" name="Picture 3" descr="8 Common Barriers for Users of Wheelchairs | TekWay | Strong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Common Barriers for Users of Wheelchairs | TekWay | StrongGo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8190" t="-1261" r="10747" b="5899"/>
                          <a:stretch/>
                        </pic:blipFill>
                        <pic:spPr bwMode="auto">
                          <a:xfrm>
                            <a:off x="0" y="0"/>
                            <a:ext cx="1745615" cy="1817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5CE8" w:rsidRPr="00AB1A52">
              <w:rPr>
                <w:rFonts w:ascii="Comic Sans MS" w:hAnsi="Comic Sans MS"/>
                <w:highlight w:val="green"/>
              </w:rPr>
              <w:t>physical</w:t>
            </w:r>
            <w:r w:rsidR="005C5CE8" w:rsidRPr="00240DCC">
              <w:rPr>
                <w:rFonts w:ascii="Comic Sans MS" w:hAnsi="Comic Sans MS"/>
              </w:rPr>
              <w:t xml:space="preserve"> barriers – issues getting</w:t>
            </w:r>
            <w:r w:rsidR="00240DCC" w:rsidRPr="00240DCC">
              <w:rPr>
                <w:rFonts w:ascii="Comic Sans MS" w:hAnsi="Comic Sans MS"/>
              </w:rPr>
              <w:t xml:space="preserve"> into and around the facilities</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ways to overcome physical barriers: ramps, wider doorways, accessible toilets/rooms, stair lifts, hoists</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 xml:space="preserve">barriers to people with </w:t>
            </w:r>
            <w:r w:rsidRPr="00AB1A52">
              <w:rPr>
                <w:rFonts w:ascii="Comic Sans MS" w:hAnsi="Comic Sans MS"/>
                <w:highlight w:val="green"/>
              </w:rPr>
              <w:t>sensory</w:t>
            </w:r>
            <w:r w:rsidRPr="00240DCC">
              <w:rPr>
                <w:rFonts w:ascii="Comic Sans MS" w:hAnsi="Comic Sans MS"/>
              </w:rPr>
              <w:t xml:space="preserve"> disability – hearing and visual difficulties</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ways to overcome sensory barriers: hearing loops, British Sign Language (BSL) interpreters, communication cards, large print leaflets, braille leaflets, staff collecting vulnerable service users from waiting areas</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 xml:space="preserve">barriers to people with different </w:t>
            </w:r>
            <w:r w:rsidRPr="00AB1A52">
              <w:rPr>
                <w:rFonts w:ascii="Comic Sans MS" w:hAnsi="Comic Sans MS"/>
                <w:highlight w:val="green"/>
              </w:rPr>
              <w:t>social and cultural</w:t>
            </w:r>
            <w:r w:rsidRPr="00240DCC">
              <w:rPr>
                <w:rFonts w:ascii="Comic Sans MS" w:hAnsi="Comic Sans MS"/>
              </w:rPr>
              <w:t xml:space="preserve"> backgrounds – lack of awareness, differing cultural beliefs, social stigma, fear of loss of independence</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ways to overcome social and cultural barriers: awareness campaigns, posters and leaflets, well women and well men clinics, choice of service provider (e.g. if a male or female is preferred), collaboration with community and faith groups</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barriers to people that speak English as an additional language or those who have language or speech impairments</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 xml:space="preserve">ways to overcome </w:t>
            </w:r>
            <w:r w:rsidRPr="00AB1A52">
              <w:rPr>
                <w:rFonts w:ascii="Comic Sans MS" w:hAnsi="Comic Sans MS"/>
                <w:highlight w:val="green"/>
              </w:rPr>
              <w:t>language barriers</w:t>
            </w:r>
            <w:r w:rsidRPr="00240DCC">
              <w:rPr>
                <w:rFonts w:ascii="Comic Sans MS" w:hAnsi="Comic Sans MS"/>
              </w:rPr>
              <w:t>: literature in other languages, face-to-face and telephone interpretation services, health and wellbeing group meetings for speakers of other languages, longer appointments, use of advocates, staff training and awareness of common speech and language difficulties</w:t>
            </w:r>
          </w:p>
          <w:p w:rsidR="00240DCC" w:rsidRPr="00240DCC" w:rsidRDefault="005C5CE8" w:rsidP="00240DCC">
            <w:pPr>
              <w:pStyle w:val="ListParagraph"/>
              <w:numPr>
                <w:ilvl w:val="0"/>
                <w:numId w:val="14"/>
              </w:numPr>
              <w:rPr>
                <w:rFonts w:ascii="Comic Sans MS" w:hAnsi="Comic Sans MS"/>
              </w:rPr>
            </w:pPr>
            <w:r w:rsidRPr="00AB1A52">
              <w:rPr>
                <w:rFonts w:ascii="Comic Sans MS" w:hAnsi="Comic Sans MS"/>
                <w:highlight w:val="green"/>
              </w:rPr>
              <w:t>geographical barriers</w:t>
            </w:r>
            <w:r w:rsidRPr="00240DCC">
              <w:rPr>
                <w:rFonts w:ascii="Comic Sans MS" w:hAnsi="Comic Sans MS"/>
              </w:rPr>
              <w:t xml:space="preserve"> – distance of service provider, poor transport links</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ways to overcome geographical barriers: local community transport schemes for disabled or elderly service users, home/community visits, community clinics, telehealth schemes o barriers for people with learning disabilities</w:t>
            </w:r>
          </w:p>
          <w:p w:rsidR="00240DCC" w:rsidRPr="00240DCC" w:rsidRDefault="005C5CE8" w:rsidP="00240DCC">
            <w:pPr>
              <w:pStyle w:val="ListParagraph"/>
              <w:numPr>
                <w:ilvl w:val="0"/>
                <w:numId w:val="14"/>
              </w:numPr>
              <w:rPr>
                <w:rFonts w:ascii="Comic Sans MS" w:hAnsi="Comic Sans MS"/>
              </w:rPr>
            </w:pPr>
            <w:r w:rsidRPr="00240DCC">
              <w:rPr>
                <w:rFonts w:ascii="Comic Sans MS" w:hAnsi="Comic Sans MS"/>
              </w:rPr>
              <w:t xml:space="preserve">ways to overcome </w:t>
            </w:r>
            <w:r w:rsidRPr="00AB1A52">
              <w:rPr>
                <w:rFonts w:ascii="Comic Sans MS" w:hAnsi="Comic Sans MS"/>
                <w:highlight w:val="green"/>
              </w:rPr>
              <w:t>intellectual barriers</w:t>
            </w:r>
            <w:r w:rsidRPr="00240DCC">
              <w:rPr>
                <w:rFonts w:ascii="Comic Sans MS" w:hAnsi="Comic Sans MS"/>
              </w:rPr>
              <w:t>: use of Health Passports and All About Me documents, use of advocates, use of Learning Disability Nurses (LDNs) and support workers, ‘Quiet Clinics’, quiet waiting areas, longer appointment times, use of communication cards, adhering to The Accessible Information Standard and providing low text ‘easy read’ leaflets</w:t>
            </w:r>
          </w:p>
          <w:p w:rsidR="00240DCC" w:rsidRPr="00240DCC" w:rsidRDefault="005C5CE8" w:rsidP="00240DCC">
            <w:pPr>
              <w:pStyle w:val="ListParagraph"/>
              <w:numPr>
                <w:ilvl w:val="0"/>
                <w:numId w:val="14"/>
              </w:numPr>
              <w:rPr>
                <w:rFonts w:ascii="Comic Sans MS" w:hAnsi="Comic Sans MS"/>
              </w:rPr>
            </w:pPr>
            <w:r w:rsidRPr="00AB1A52">
              <w:rPr>
                <w:rFonts w:ascii="Comic Sans MS" w:hAnsi="Comic Sans MS"/>
                <w:highlight w:val="green"/>
              </w:rPr>
              <w:t>financial barriers</w:t>
            </w:r>
            <w:r w:rsidRPr="00240DCC">
              <w:rPr>
                <w:rFonts w:ascii="Comic Sans MS" w:hAnsi="Comic Sans MS"/>
              </w:rPr>
              <w:t xml:space="preserve"> – charging for services, cost of transport, loss of income while accessing services</w:t>
            </w:r>
          </w:p>
          <w:p w:rsidR="00240DCC" w:rsidRPr="00240DCC" w:rsidRDefault="005C5CE8" w:rsidP="00610AF1">
            <w:pPr>
              <w:pStyle w:val="ListParagraph"/>
              <w:numPr>
                <w:ilvl w:val="0"/>
                <w:numId w:val="14"/>
              </w:numPr>
              <w:rPr>
                <w:rFonts w:ascii="Comic Sans MS" w:hAnsi="Comic Sans MS"/>
                <w:sz w:val="24"/>
                <w:szCs w:val="24"/>
              </w:rPr>
            </w:pPr>
            <w:r w:rsidRPr="00610AF1">
              <w:rPr>
                <w:rFonts w:ascii="Comic Sans MS" w:hAnsi="Comic Sans MS"/>
              </w:rPr>
              <w:t>ways to overcome financial barriers: NHS exemption certificates, NHS Low Income Scheme, NHS vouchers for eye tests, glasses and lenses, NHS Healthcare Travel Costs Scheme (HTCS), charitable sche</w:t>
            </w:r>
            <w:r w:rsidR="00240DCC" w:rsidRPr="00610AF1">
              <w:rPr>
                <w:rFonts w:ascii="Comic Sans MS" w:hAnsi="Comic Sans MS"/>
              </w:rPr>
              <w:t>mes such as community transport</w:t>
            </w:r>
            <w:r w:rsidR="00240DCC">
              <w:rPr>
                <w:noProof/>
                <w:lang w:eastAsia="en-GB"/>
              </w:rPr>
              <w:t xml:space="preserve"> </w:t>
            </w:r>
          </w:p>
        </w:tc>
      </w:tr>
    </w:tbl>
    <w:p w:rsidR="0033318B" w:rsidRPr="00C32804" w:rsidRDefault="0033318B" w:rsidP="00240DCC">
      <w:pPr>
        <w:rPr>
          <w:rFonts w:ascii="Comic Sans MS" w:hAnsi="Comic Sans MS"/>
          <w:sz w:val="24"/>
          <w:szCs w:val="24"/>
        </w:rPr>
      </w:pPr>
    </w:p>
    <w:sectPr w:rsidR="0033318B" w:rsidRPr="00C32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34A"/>
    <w:multiLevelType w:val="hybridMultilevel"/>
    <w:tmpl w:val="3E7CA2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B33C2"/>
    <w:multiLevelType w:val="hybridMultilevel"/>
    <w:tmpl w:val="91A296B6"/>
    <w:lvl w:ilvl="0" w:tplc="0809000D">
      <w:start w:val="1"/>
      <w:numFmt w:val="bullet"/>
      <w:lvlText w:val=""/>
      <w:lvlJc w:val="left"/>
      <w:pPr>
        <w:ind w:left="798" w:hanging="360"/>
      </w:pPr>
      <w:rPr>
        <w:rFonts w:ascii="Wingdings" w:hAnsi="Wingdings"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2" w15:restartNumberingAfterBreak="0">
    <w:nsid w:val="0F155897"/>
    <w:multiLevelType w:val="hybridMultilevel"/>
    <w:tmpl w:val="CD6650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925C3"/>
    <w:multiLevelType w:val="hybridMultilevel"/>
    <w:tmpl w:val="52D4FF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02B26"/>
    <w:multiLevelType w:val="hybridMultilevel"/>
    <w:tmpl w:val="01E4D8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25EC2"/>
    <w:multiLevelType w:val="hybridMultilevel"/>
    <w:tmpl w:val="0168700E"/>
    <w:lvl w:ilvl="0" w:tplc="F82A16C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70833"/>
    <w:multiLevelType w:val="hybridMultilevel"/>
    <w:tmpl w:val="66DC5E1A"/>
    <w:lvl w:ilvl="0" w:tplc="0809000D">
      <w:start w:val="1"/>
      <w:numFmt w:val="bullet"/>
      <w:lvlText w:val=""/>
      <w:lvlJc w:val="left"/>
      <w:pPr>
        <w:ind w:left="772" w:hanging="360"/>
      </w:pPr>
      <w:rPr>
        <w:rFonts w:ascii="Wingdings" w:hAnsi="Wingdings"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 w15:restartNumberingAfterBreak="0">
    <w:nsid w:val="3F381751"/>
    <w:multiLevelType w:val="hybridMultilevel"/>
    <w:tmpl w:val="E0C8E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558B0"/>
    <w:multiLevelType w:val="hybridMultilevel"/>
    <w:tmpl w:val="37BCB2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84011"/>
    <w:multiLevelType w:val="hybridMultilevel"/>
    <w:tmpl w:val="28B27AE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A067D3"/>
    <w:multiLevelType w:val="hybridMultilevel"/>
    <w:tmpl w:val="786ADB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15C1D"/>
    <w:multiLevelType w:val="hybridMultilevel"/>
    <w:tmpl w:val="2064F870"/>
    <w:lvl w:ilvl="0" w:tplc="F82A16C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93BAD"/>
    <w:multiLevelType w:val="hybridMultilevel"/>
    <w:tmpl w:val="348C67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6080B"/>
    <w:multiLevelType w:val="hybridMultilevel"/>
    <w:tmpl w:val="7B4EF7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C3CD5"/>
    <w:multiLevelType w:val="hybridMultilevel"/>
    <w:tmpl w:val="FBDE3262"/>
    <w:lvl w:ilvl="0" w:tplc="F82A16C8">
      <w:start w:val="1"/>
      <w:numFmt w:val="bullet"/>
      <w:lvlText w:val=""/>
      <w:lvlJc w:val="left"/>
      <w:pPr>
        <w:ind w:left="772" w:hanging="360"/>
      </w:pPr>
      <w:rPr>
        <w:rFonts w:ascii="Wingdings" w:hAnsi="Wingdings"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11"/>
  </w:num>
  <w:num w:numId="2">
    <w:abstractNumId w:val="14"/>
  </w:num>
  <w:num w:numId="3">
    <w:abstractNumId w:val="5"/>
  </w:num>
  <w:num w:numId="4">
    <w:abstractNumId w:val="3"/>
  </w:num>
  <w:num w:numId="5">
    <w:abstractNumId w:val="7"/>
  </w:num>
  <w:num w:numId="6">
    <w:abstractNumId w:val="4"/>
  </w:num>
  <w:num w:numId="7">
    <w:abstractNumId w:val="0"/>
  </w:num>
  <w:num w:numId="8">
    <w:abstractNumId w:val="12"/>
  </w:num>
  <w:num w:numId="9">
    <w:abstractNumId w:val="8"/>
  </w:num>
  <w:num w:numId="10">
    <w:abstractNumId w:val="2"/>
  </w:num>
  <w:num w:numId="11">
    <w:abstractNumId w:val="10"/>
  </w:num>
  <w:num w:numId="12">
    <w:abstractNumId w:val="13"/>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B0"/>
    <w:rsid w:val="002138E1"/>
    <w:rsid w:val="00240DCC"/>
    <w:rsid w:val="002D5117"/>
    <w:rsid w:val="0033318B"/>
    <w:rsid w:val="003D48DA"/>
    <w:rsid w:val="004C6131"/>
    <w:rsid w:val="005C5CE8"/>
    <w:rsid w:val="00610AF1"/>
    <w:rsid w:val="006A57D0"/>
    <w:rsid w:val="00892660"/>
    <w:rsid w:val="00A972FE"/>
    <w:rsid w:val="00AB1A52"/>
    <w:rsid w:val="00C32804"/>
    <w:rsid w:val="00D61A53"/>
    <w:rsid w:val="00D9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CBD76-0080-4898-B435-32E1AD5C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965D-5BA0-41D8-A4F0-6D8F1462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Rawles</dc:creator>
  <cp:keywords/>
  <dc:description/>
  <cp:lastModifiedBy>Mrs A Rawles</cp:lastModifiedBy>
  <cp:revision>3</cp:revision>
  <dcterms:created xsi:type="dcterms:W3CDTF">2024-02-01T12:04:00Z</dcterms:created>
  <dcterms:modified xsi:type="dcterms:W3CDTF">2024-02-01T12:35:00Z</dcterms:modified>
</cp:coreProperties>
</file>